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42719" w:rsidRPr="003C7004">
        <w:rPr>
          <w:sz w:val="28"/>
          <w:szCs w:val="28"/>
        </w:rPr>
        <w:t>Muckibude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42719" w:rsidTr="00F42719">
        <w:tc>
          <w:tcPr>
            <w:tcW w:w="2466" w:type="dxa"/>
            <w:vAlign w:val="center"/>
          </w:tcPr>
          <w:p w:rsidR="00F42719" w:rsidRPr="00A069A7" w:rsidRDefault="00F42719" w:rsidP="00C14828">
            <w:pPr>
              <w:pStyle w:val="IQB-Merkmal"/>
            </w:pPr>
            <w:r w:rsidRPr="00A069A7">
              <w:t>Leitidee</w:t>
            </w:r>
          </w:p>
        </w:tc>
        <w:tc>
          <w:tcPr>
            <w:tcW w:w="6604" w:type="dxa"/>
          </w:tcPr>
          <w:p w:rsidR="00F42719" w:rsidRPr="00A069A7" w:rsidRDefault="00F42719" w:rsidP="00C14828">
            <w:pPr>
              <w:pStyle w:val="IQB-Merkmalswert"/>
              <w:rPr>
                <w:sz w:val="22"/>
                <w:szCs w:val="22"/>
              </w:rPr>
            </w:pPr>
            <w:r w:rsidRPr="00A069A7">
              <w:rPr>
                <w:sz w:val="22"/>
                <w:szCs w:val="22"/>
              </w:rPr>
              <w:t>Daten und Zufall (L5)</w:t>
            </w:r>
          </w:p>
        </w:tc>
      </w:tr>
      <w:tr w:rsidR="00F42719" w:rsidTr="00F42719">
        <w:tc>
          <w:tcPr>
            <w:tcW w:w="2466" w:type="dxa"/>
            <w:vAlign w:val="center"/>
          </w:tcPr>
          <w:p w:rsidR="00F42719" w:rsidRPr="00A069A7" w:rsidRDefault="00F42719" w:rsidP="00C14828">
            <w:pPr>
              <w:pStyle w:val="IQB-Merkmal"/>
            </w:pPr>
            <w:r w:rsidRPr="00A069A7">
              <w:t>Allgemeine Kompetenzen</w:t>
            </w:r>
          </w:p>
        </w:tc>
        <w:tc>
          <w:tcPr>
            <w:tcW w:w="6604" w:type="dxa"/>
          </w:tcPr>
          <w:p w:rsidR="00F42719" w:rsidRPr="00A069A7" w:rsidRDefault="00F42719" w:rsidP="00C14828">
            <w:pPr>
              <w:pStyle w:val="IQB-Merkmalswert"/>
              <w:rPr>
                <w:sz w:val="22"/>
                <w:szCs w:val="22"/>
              </w:rPr>
            </w:pPr>
            <w:r w:rsidRPr="00A069A7">
              <w:rPr>
                <w:sz w:val="22"/>
                <w:szCs w:val="22"/>
              </w:rPr>
              <w:t>Mathematische Darstellungen verwenden (K4)</w:t>
            </w:r>
          </w:p>
        </w:tc>
      </w:tr>
      <w:tr w:rsidR="00F42719" w:rsidTr="00F42719">
        <w:tc>
          <w:tcPr>
            <w:tcW w:w="2466" w:type="dxa"/>
            <w:vAlign w:val="center"/>
          </w:tcPr>
          <w:p w:rsidR="00F42719" w:rsidRPr="00A069A7" w:rsidRDefault="00F42719" w:rsidP="00C14828">
            <w:pPr>
              <w:pStyle w:val="IQB-Merkmal"/>
            </w:pPr>
            <w:r w:rsidRPr="00A069A7">
              <w:t>Anforderungsbereich</w:t>
            </w:r>
          </w:p>
        </w:tc>
        <w:tc>
          <w:tcPr>
            <w:tcW w:w="6604" w:type="dxa"/>
          </w:tcPr>
          <w:p w:rsidR="00F42719" w:rsidRPr="00A069A7" w:rsidRDefault="00F42719" w:rsidP="00C14828">
            <w:pPr>
              <w:pStyle w:val="IQB-Merkmalswert"/>
              <w:rPr>
                <w:sz w:val="22"/>
                <w:szCs w:val="22"/>
              </w:rPr>
            </w:pPr>
            <w:r w:rsidRPr="00A069A7">
              <w:rPr>
                <w:sz w:val="22"/>
                <w:szCs w:val="22"/>
              </w:rPr>
              <w:t>I</w:t>
            </w:r>
          </w:p>
        </w:tc>
      </w:tr>
      <w:tr w:rsidR="00F42719" w:rsidTr="00F42719">
        <w:tc>
          <w:tcPr>
            <w:tcW w:w="2466" w:type="dxa"/>
            <w:vAlign w:val="center"/>
          </w:tcPr>
          <w:p w:rsidR="00F42719" w:rsidRPr="00A069A7" w:rsidRDefault="00F42719" w:rsidP="00C14828">
            <w:pPr>
              <w:pStyle w:val="IQB-Merkmal"/>
            </w:pPr>
            <w:r w:rsidRPr="00A069A7">
              <w:t>Kompetenzstufe</w:t>
            </w:r>
          </w:p>
        </w:tc>
        <w:tc>
          <w:tcPr>
            <w:tcW w:w="6604" w:type="dxa"/>
          </w:tcPr>
          <w:p w:rsidR="00F42719" w:rsidRPr="00A069A7" w:rsidRDefault="00F42719" w:rsidP="00C14828">
            <w:pPr>
              <w:pStyle w:val="IQB-Merkmalswert"/>
              <w:rPr>
                <w:sz w:val="22"/>
                <w:szCs w:val="22"/>
              </w:rPr>
            </w:pPr>
            <w:r w:rsidRPr="00A069A7">
              <w:rPr>
                <w:sz w:val="22"/>
                <w:szCs w:val="22"/>
              </w:rPr>
              <w:t>1a</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42719" w:rsidTr="00F42719">
        <w:tc>
          <w:tcPr>
            <w:tcW w:w="2466" w:type="dxa"/>
            <w:vAlign w:val="center"/>
          </w:tcPr>
          <w:p w:rsidR="00F42719" w:rsidRPr="00A069A7" w:rsidRDefault="00F42719" w:rsidP="00C14828">
            <w:pPr>
              <w:pStyle w:val="IQB-Merkmal"/>
            </w:pPr>
            <w:r w:rsidRPr="00A069A7">
              <w:t>Leitidee</w:t>
            </w:r>
          </w:p>
        </w:tc>
        <w:tc>
          <w:tcPr>
            <w:tcW w:w="6604" w:type="dxa"/>
          </w:tcPr>
          <w:p w:rsidR="00F42719" w:rsidRPr="00A069A7" w:rsidRDefault="00F42719" w:rsidP="00C14828">
            <w:pPr>
              <w:pStyle w:val="IQB-Merkmalswert"/>
              <w:rPr>
                <w:sz w:val="22"/>
                <w:szCs w:val="22"/>
              </w:rPr>
            </w:pPr>
            <w:r w:rsidRPr="00A069A7">
              <w:rPr>
                <w:sz w:val="22"/>
                <w:szCs w:val="22"/>
              </w:rPr>
              <w:t>Daten und Zufall (L5)</w:t>
            </w:r>
          </w:p>
        </w:tc>
      </w:tr>
      <w:tr w:rsidR="00F42719" w:rsidTr="00F42719">
        <w:tc>
          <w:tcPr>
            <w:tcW w:w="2466" w:type="dxa"/>
            <w:vAlign w:val="center"/>
          </w:tcPr>
          <w:p w:rsidR="00F42719" w:rsidRPr="00A069A7" w:rsidRDefault="00F42719" w:rsidP="00C14828">
            <w:pPr>
              <w:pStyle w:val="IQB-Merkmal"/>
            </w:pPr>
            <w:r w:rsidRPr="00A069A7">
              <w:t>Allgemeine Kompetenzen</w:t>
            </w:r>
          </w:p>
        </w:tc>
        <w:tc>
          <w:tcPr>
            <w:tcW w:w="6604" w:type="dxa"/>
          </w:tcPr>
          <w:p w:rsidR="00F42719" w:rsidRPr="00A069A7" w:rsidRDefault="00F42719" w:rsidP="00C14828">
            <w:pPr>
              <w:pStyle w:val="IQB-Merkmalswert"/>
              <w:rPr>
                <w:sz w:val="22"/>
                <w:szCs w:val="22"/>
              </w:rPr>
            </w:pPr>
            <w:r w:rsidRPr="00A069A7">
              <w:rPr>
                <w:sz w:val="22"/>
                <w:szCs w:val="22"/>
              </w:rPr>
              <w:t>Mathematische Darstellungen verwenden (K4)</w:t>
            </w:r>
          </w:p>
        </w:tc>
      </w:tr>
      <w:tr w:rsidR="00F42719" w:rsidTr="00F42719">
        <w:tc>
          <w:tcPr>
            <w:tcW w:w="2466" w:type="dxa"/>
            <w:vAlign w:val="center"/>
          </w:tcPr>
          <w:p w:rsidR="00F42719" w:rsidRPr="00A069A7" w:rsidRDefault="00F42719" w:rsidP="00C14828">
            <w:pPr>
              <w:pStyle w:val="IQB-Merkmal"/>
            </w:pPr>
            <w:r w:rsidRPr="00A069A7">
              <w:t>Anforderungsbereich</w:t>
            </w:r>
          </w:p>
        </w:tc>
        <w:tc>
          <w:tcPr>
            <w:tcW w:w="6604" w:type="dxa"/>
          </w:tcPr>
          <w:p w:rsidR="00F42719" w:rsidRPr="00A069A7" w:rsidRDefault="00F42719" w:rsidP="00C14828">
            <w:pPr>
              <w:pStyle w:val="IQB-Merkmalswert"/>
              <w:rPr>
                <w:sz w:val="22"/>
                <w:szCs w:val="22"/>
              </w:rPr>
            </w:pPr>
            <w:r w:rsidRPr="00A069A7">
              <w:rPr>
                <w:sz w:val="22"/>
                <w:szCs w:val="22"/>
              </w:rPr>
              <w:t>I</w:t>
            </w:r>
          </w:p>
        </w:tc>
      </w:tr>
      <w:tr w:rsidR="00F42719" w:rsidTr="00F42719">
        <w:tc>
          <w:tcPr>
            <w:tcW w:w="2466" w:type="dxa"/>
            <w:vAlign w:val="center"/>
          </w:tcPr>
          <w:p w:rsidR="00F42719" w:rsidRPr="00A069A7" w:rsidRDefault="00F42719" w:rsidP="00C14828">
            <w:pPr>
              <w:pStyle w:val="IQB-Merkmal"/>
            </w:pPr>
            <w:r w:rsidRPr="00A069A7">
              <w:t>Kompetenzstufe</w:t>
            </w:r>
          </w:p>
        </w:tc>
        <w:tc>
          <w:tcPr>
            <w:tcW w:w="6604" w:type="dxa"/>
          </w:tcPr>
          <w:p w:rsidR="00F42719" w:rsidRPr="00A069A7" w:rsidRDefault="00F42719" w:rsidP="00C14828">
            <w:pPr>
              <w:pStyle w:val="IQB-Merkmalswert"/>
              <w:rPr>
                <w:sz w:val="22"/>
                <w:szCs w:val="22"/>
              </w:rPr>
            </w:pPr>
            <w:r w:rsidRPr="00A069A7">
              <w:rPr>
                <w:sz w:val="22"/>
                <w:szCs w:val="22"/>
              </w:rPr>
              <w:t>1a</w:t>
            </w:r>
          </w:p>
        </w:tc>
      </w:tr>
    </w:tbl>
    <w:p w:rsidR="00694A63" w:rsidRPr="00694A63" w:rsidRDefault="00694A63" w:rsidP="00694A63">
      <w:pPr>
        <w:pStyle w:val="IQB-Teilaufgabentitel"/>
        <w:rPr>
          <w:b/>
        </w:rPr>
      </w:pPr>
      <w:r w:rsidRPr="00694A63">
        <w:rPr>
          <w:b/>
        </w:rPr>
        <w:t>Aufgabenbezogener Kommentar</w:t>
      </w:r>
    </w:p>
    <w:p w:rsidR="00F42719" w:rsidRPr="00F42719" w:rsidRDefault="00F42719" w:rsidP="00F42719">
      <w:pPr>
        <w:jc w:val="both"/>
        <w:rPr>
          <w:rFonts w:ascii="Arial" w:hAnsi="Arial"/>
          <w:sz w:val="22"/>
          <w:szCs w:val="22"/>
        </w:rPr>
      </w:pPr>
      <w:r w:rsidRPr="00F42719">
        <w:rPr>
          <w:rFonts w:ascii="Arial" w:hAnsi="Arial"/>
          <w:sz w:val="22"/>
          <w:szCs w:val="22"/>
        </w:rPr>
        <w:t xml:space="preserve">In der Aufgabe „Muckibude“ werden einem Diagramm Informationen über Daten entnommen. Daher wird die Aufgabe der Leitidee </w:t>
      </w:r>
      <w:r w:rsidRPr="00F42719">
        <w:rPr>
          <w:rFonts w:ascii="Arial" w:hAnsi="Arial"/>
          <w:i/>
          <w:sz w:val="22"/>
          <w:szCs w:val="22"/>
        </w:rPr>
        <w:t>Daten und Zufall</w:t>
      </w:r>
      <w:r w:rsidRPr="00F42719">
        <w:rPr>
          <w:rFonts w:ascii="Segoe UI Symbol" w:hAnsi="Segoe UI Symbol"/>
          <w:sz w:val="22"/>
          <w:szCs w:val="22"/>
        </w:rPr>
        <w:t> </w:t>
      </w:r>
      <w:r w:rsidRPr="00F42719">
        <w:rPr>
          <w:rFonts w:ascii="Arial" w:hAnsi="Arial"/>
          <w:sz w:val="22"/>
          <w:szCs w:val="22"/>
        </w:rPr>
        <w:t xml:space="preserve">(L5) zugeordnet. </w:t>
      </w:r>
    </w:p>
    <w:p w:rsidR="00F42719" w:rsidRPr="00F42719" w:rsidRDefault="00F42719" w:rsidP="00F42719">
      <w:pPr>
        <w:jc w:val="both"/>
        <w:rPr>
          <w:rFonts w:ascii="Arial" w:hAnsi="Arial"/>
          <w:sz w:val="22"/>
          <w:szCs w:val="22"/>
        </w:rPr>
      </w:pPr>
    </w:p>
    <w:p w:rsidR="00F42719" w:rsidRPr="00F42719" w:rsidRDefault="00F42719" w:rsidP="00F42719">
      <w:pPr>
        <w:jc w:val="both"/>
        <w:rPr>
          <w:rFonts w:ascii="Arial" w:hAnsi="Arial"/>
          <w:sz w:val="22"/>
          <w:szCs w:val="22"/>
        </w:rPr>
      </w:pPr>
      <w:r w:rsidRPr="00F42719">
        <w:rPr>
          <w:rFonts w:ascii="Arial" w:hAnsi="Arial"/>
          <w:sz w:val="22"/>
          <w:szCs w:val="22"/>
        </w:rPr>
        <w:t xml:space="preserve">In beiden Teilaufgaben steht das Diagramm im Mittelpunkt. Daher wird die Kompetenz </w:t>
      </w:r>
      <w:r w:rsidRPr="00F42719">
        <w:rPr>
          <w:rFonts w:ascii="Arial" w:hAnsi="Arial"/>
          <w:i/>
          <w:sz w:val="22"/>
          <w:szCs w:val="22"/>
        </w:rPr>
        <w:t>Mathematische Darstellungen verwenden</w:t>
      </w:r>
      <w:r w:rsidRPr="00F42719">
        <w:rPr>
          <w:rFonts w:ascii="Arial" w:hAnsi="Arial"/>
          <w:sz w:val="22"/>
          <w:szCs w:val="22"/>
        </w:rPr>
        <w:t> (K4) vorausgesetzt.</w:t>
      </w:r>
    </w:p>
    <w:p w:rsidR="00F42719" w:rsidRPr="00F42719" w:rsidRDefault="00F42719" w:rsidP="00F42719">
      <w:pPr>
        <w:jc w:val="both"/>
        <w:rPr>
          <w:rFonts w:ascii="Arial" w:hAnsi="Arial"/>
          <w:sz w:val="22"/>
          <w:szCs w:val="22"/>
        </w:rPr>
      </w:pPr>
    </w:p>
    <w:p w:rsidR="00F42719" w:rsidRPr="00F42719" w:rsidRDefault="00F42719" w:rsidP="00F42719">
      <w:pPr>
        <w:jc w:val="both"/>
        <w:rPr>
          <w:rFonts w:ascii="Arial" w:hAnsi="Arial"/>
          <w:sz w:val="22"/>
          <w:szCs w:val="22"/>
        </w:rPr>
      </w:pPr>
      <w:r w:rsidRPr="00F42719">
        <w:rPr>
          <w:rFonts w:ascii="Arial" w:hAnsi="Arial"/>
          <w:sz w:val="22"/>
          <w:szCs w:val="22"/>
        </w:rPr>
        <w:t>Die benötigten Informationen können bei beiden Teilaufgaben direkt aus dem Diagramm ermittelt werden, weshalb die Aufgabe insgesamt in den Anforderungsbereich I fällt.</w:t>
      </w:r>
    </w:p>
    <w:p w:rsidR="00694A63" w:rsidRPr="00694A63" w:rsidRDefault="00694A63" w:rsidP="00694A63">
      <w:pPr>
        <w:pStyle w:val="IQB-Teilaufgabentitel"/>
        <w:rPr>
          <w:b/>
        </w:rPr>
      </w:pPr>
      <w:r w:rsidRPr="00694A63">
        <w:rPr>
          <w:b/>
        </w:rPr>
        <w:t>Anregungen für den Unterricht</w:t>
      </w:r>
    </w:p>
    <w:p w:rsidR="00F42719" w:rsidRPr="00F42719" w:rsidRDefault="00F42719" w:rsidP="00F42719">
      <w:pPr>
        <w:jc w:val="both"/>
        <w:rPr>
          <w:rFonts w:ascii="Arial" w:hAnsi="Arial"/>
          <w:sz w:val="22"/>
          <w:szCs w:val="22"/>
        </w:rPr>
      </w:pPr>
      <w:r w:rsidRPr="00F42719">
        <w:rPr>
          <w:rFonts w:ascii="Arial" w:hAnsi="Arial"/>
          <w:sz w:val="22"/>
          <w:szCs w:val="22"/>
        </w:rPr>
        <w:t xml:space="preserve">Die Kompetenz </w:t>
      </w:r>
      <w:r w:rsidRPr="00F42719">
        <w:rPr>
          <w:rFonts w:ascii="Arial" w:hAnsi="Arial"/>
          <w:i/>
          <w:sz w:val="22"/>
          <w:szCs w:val="22"/>
        </w:rPr>
        <w:t>Mathematische Darstellungen verwenden </w:t>
      </w:r>
      <w:r w:rsidRPr="00F42719">
        <w:rPr>
          <w:rFonts w:ascii="Arial" w:hAnsi="Arial"/>
          <w:sz w:val="22"/>
          <w:szCs w:val="22"/>
        </w:rPr>
        <w:t>(K4) ist über den Unterricht hinaus bedeutsam, da diese Kompetenz nahezu jedem Menschen im Alltag, im Beruf und in politischen Zusammenhängen abverlangt wird. Man denke an dieser Stelle an die Vielzahl von Diagrammen, Schaubildern, Graphen und Tabellen, die uns täglich in Zeitungen, im Fernsehen und im Internet begegnen. Alle diese Darstellungen sind auch mathematische Darstellungen, wenngleich sie sehr häufig von den im Mathematikunterricht üblichen Darstellungsweisen abweichen. Der verständige Umgang mit der Vielzahl von Darstellungen, die Möglichkeit diese zu deuten oder womöglich verfälschende Darstellungen zu kritisieren sind Voraussetzungen dafür, dass Lernende an bestimmten Bereichen des öffentlichen Lebens teilhaben können. Wird mit dem Mathematikunterricht das Ziel verfolgt, allgemeinbildend zu sein und sollen Schülerinnen und Schüler zu (bürgerlicher) Mündigkeit befähigt werden, so muss auch diese Kompetenz gefördert werden.</w:t>
      </w:r>
    </w:p>
    <w:p w:rsidR="00F42719" w:rsidRPr="00F42719" w:rsidRDefault="00F42719" w:rsidP="00F42719">
      <w:pPr>
        <w:jc w:val="both"/>
        <w:rPr>
          <w:rFonts w:ascii="Arial" w:hAnsi="Arial"/>
          <w:sz w:val="22"/>
          <w:szCs w:val="22"/>
        </w:rPr>
      </w:pPr>
    </w:p>
    <w:p w:rsidR="00F42719" w:rsidRPr="00F42719" w:rsidRDefault="00F42719" w:rsidP="00F42719">
      <w:pPr>
        <w:jc w:val="both"/>
        <w:rPr>
          <w:rFonts w:ascii="Arial" w:hAnsi="Arial"/>
          <w:sz w:val="22"/>
          <w:szCs w:val="22"/>
        </w:rPr>
      </w:pPr>
      <w:r w:rsidRPr="00F42719">
        <w:rPr>
          <w:rFonts w:ascii="Arial" w:hAnsi="Arial"/>
          <w:sz w:val="22"/>
          <w:szCs w:val="22"/>
        </w:rPr>
        <w:t xml:space="preserve">In der Aufgabe „Muckibude“ wird diese Kompetenz auf Anforderungsbereich I verlangt. Dabei ließen sich an diese Aufgabe leicht weiterführende Fragestellungen anschließen. Im Unterricht könnte beispielsweise nach der weiteren Entwicklung der Mitgliederzahlen gefragt werden. Die Schülerinnen und Schüler müssten dann eine begründete Prognose abgeben. Ebenso kann im Unterricht über andere Darstellungsarten nachgedacht werden. Schülerinnen und Schüler könnten beispielweise aufgefordert werden zu erklären, warum ein Kreisdiagramm hier nicht sinnvoll wäre. Ebenso ist es denkbar, dieses Diagramm und weitere mathematische Darstellungen eingebettet in einem Text (z. B. einem fiktiven Zeitungsartikel) für eine Aufgabe zu verwenden. Wenn in einem Text Abbildungen, Tabellen oder Ähnliches eingebettet sind, spricht man von diskontinuierlichen Texten. Werden diese von Schülerinnen und Schülern erfasst, ergibt sich eine Überschneidung mit der Kompetenz </w:t>
      </w:r>
      <w:r w:rsidRPr="00F42719">
        <w:rPr>
          <w:rFonts w:ascii="Arial" w:hAnsi="Arial"/>
          <w:i/>
          <w:sz w:val="22"/>
          <w:szCs w:val="22"/>
        </w:rPr>
        <w:t>Mathematisch kommunizieren</w:t>
      </w:r>
      <w:r w:rsidRPr="00F42719">
        <w:rPr>
          <w:rFonts w:ascii="Arial" w:hAnsi="Arial"/>
          <w:sz w:val="22"/>
          <w:szCs w:val="22"/>
        </w:rPr>
        <w:t xml:space="preserve"> (K6). Ausgehend von derlei eng gefassten Aufgabentypen, können die Aufgaben bei zunehmender Selbstständigkeit der Lernenden dahingehend geöffnet werden, dass Schülerinnen und Schüler selbst Fragen zu einem gegebenen Kontext formulieren, sie recherchieren und nach Daten und mathematischen Darstellungen suchen oder eigenständig Datenmaterial generieren. Kontexte für solche Aufgaben können aus </w:t>
      </w:r>
      <w:r w:rsidRPr="00F42719">
        <w:rPr>
          <w:rFonts w:ascii="Arial" w:hAnsi="Arial"/>
          <w:sz w:val="22"/>
          <w:szCs w:val="22"/>
        </w:rPr>
        <w:lastRenderedPageBreak/>
        <w:t>motivationalen Gründen der Lebenswelt von Lernenden entnommen werden (dabei sollte jedoch darauf geachtet werden, dass Schülerinnen und Schüler auch an Kontexte herangeführt werden, die über ihre eigene Lebenswelt hinausgehen). Denkbar wäre es z. B. Plakate mit verschiedenen mathematischen Darstellungen zum eigenen Wohnort, der Schule oder dem Sportverein erstellen zu lassen, die dann wiederum von jeweils beteiligten Schülerinnen und Schülern der Klasse vorgestellt werden.</w:t>
      </w:r>
    </w:p>
    <w:p w:rsidR="00694A63" w:rsidRPr="005B2F65" w:rsidRDefault="00694A63" w:rsidP="00F42719">
      <w:pPr>
        <w:jc w:val="both"/>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D3630DD3-B045-4F01-AD95-DC998A6EC789}"/>
    <w:embedBold r:id="rId2" w:fontKey="{0243365C-24B0-44C3-95F1-0B2C2BFFADDA}"/>
    <w:embedItalic r:id="rId3" w:fontKey="{F87EBE16-3818-46C0-9BF4-ED48B9AACFF8}"/>
    <w:embedBoldItalic r:id="rId4" w:fontKey="{26EB5225-B1B5-40F2-BCB7-1656CBD12D5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embedRegular r:id="rId5" w:subsetted="1" w:fontKey="{E0D54A3B-D5C8-4FDC-BA0E-36E8E23FEB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1C6516-F4F7-4253-BB52-6A275A1AF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518</Words>
  <Characters>3231</Characters>
  <Application>Microsoft Office Word</Application>
  <DocSecurity>0</DocSecurity>
  <Lines>67</Lines>
  <Paragraphs>29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2025-07-23T13:19:00Z</dcterms:created>
  <dcterms:modified xsi:type="dcterms:W3CDTF">2025-07-23T13:19:00Z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